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A7D" w:rsidRDefault="007821FA" w:rsidP="007821FA">
      <w:pPr>
        <w:jc w:val="right"/>
      </w:pPr>
      <w:r>
        <w:rPr>
          <w:rFonts w:hint="eastAsia"/>
        </w:rPr>
        <w:t>別紙</w:t>
      </w:r>
      <w:r w:rsidR="00BD15CD">
        <w:rPr>
          <w:rFonts w:hint="eastAsia"/>
        </w:rPr>
        <w:t>４</w:t>
      </w:r>
    </w:p>
    <w:p w:rsidR="007821FA" w:rsidRDefault="007821FA"/>
    <w:p w:rsidR="007821FA" w:rsidRPr="007821FA" w:rsidRDefault="005B4F8D" w:rsidP="007821FA">
      <w:pPr>
        <w:jc w:val="center"/>
        <w:rPr>
          <w:sz w:val="28"/>
        </w:rPr>
      </w:pPr>
      <w:r w:rsidRPr="005B4F8D">
        <w:rPr>
          <w:rFonts w:hint="eastAsia"/>
          <w:sz w:val="28"/>
        </w:rPr>
        <w:t>個人情報の漏えいの防止のために講ずる措</w:t>
      </w:r>
      <w:bookmarkStart w:id="0" w:name="_GoBack"/>
      <w:bookmarkEnd w:id="0"/>
      <w:r w:rsidRPr="005B4F8D">
        <w:rPr>
          <w:rFonts w:hint="eastAsia"/>
          <w:sz w:val="28"/>
        </w:rPr>
        <w:t>置</w:t>
      </w:r>
      <w:r w:rsidR="00A84E03" w:rsidRPr="00A84E03">
        <w:rPr>
          <w:rFonts w:hint="eastAsia"/>
          <w:sz w:val="28"/>
        </w:rPr>
        <w:t>【記載例】</w:t>
      </w:r>
    </w:p>
    <w:p w:rsidR="007821FA" w:rsidRDefault="007821FA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6042"/>
      </w:tblGrid>
      <w:tr w:rsidR="00FE00BE" w:rsidTr="00855EA9">
        <w:tc>
          <w:tcPr>
            <w:tcW w:w="8702" w:type="dxa"/>
            <w:gridSpan w:val="2"/>
          </w:tcPr>
          <w:p w:rsidR="00FE00BE" w:rsidRDefault="00FE00BE" w:rsidP="00766CA9">
            <w:r>
              <w:rPr>
                <w:rFonts w:hint="eastAsia"/>
              </w:rPr>
              <w:t>＜収集運搬</w:t>
            </w:r>
            <w:r w:rsidR="00BA1570">
              <w:rPr>
                <w:rFonts w:hint="eastAsia"/>
              </w:rPr>
              <w:t>段階における措置</w:t>
            </w:r>
            <w:r>
              <w:rPr>
                <w:rFonts w:hint="eastAsia"/>
              </w:rPr>
              <w:t>＞</w:t>
            </w:r>
          </w:p>
        </w:tc>
      </w:tr>
      <w:tr w:rsidR="00E06D39" w:rsidTr="00E06D39">
        <w:tc>
          <w:tcPr>
            <w:tcW w:w="2660" w:type="dxa"/>
          </w:tcPr>
          <w:p w:rsidR="00E06D39" w:rsidRDefault="00E06D39" w:rsidP="00FE00BE">
            <w:pPr>
              <w:ind w:left="210" w:hangingChars="100" w:hanging="210"/>
            </w:pPr>
            <w:r>
              <w:rPr>
                <w:rFonts w:hint="eastAsia"/>
              </w:rPr>
              <w:t>１．社員教育の方法</w:t>
            </w:r>
          </w:p>
        </w:tc>
        <w:tc>
          <w:tcPr>
            <w:tcW w:w="6042" w:type="dxa"/>
          </w:tcPr>
          <w:p w:rsidR="00E06D39" w:rsidRDefault="00E06D39" w:rsidP="00E06D39">
            <w:pPr>
              <w:ind w:left="210" w:hangingChars="100" w:hanging="210"/>
            </w:pPr>
            <w:r>
              <w:rPr>
                <w:rFonts w:hint="eastAsia"/>
              </w:rPr>
              <w:t>・回収から引渡までの作業をマニュアル化する。</w:t>
            </w:r>
          </w:p>
        </w:tc>
      </w:tr>
      <w:tr w:rsidR="00E06D39" w:rsidTr="00E06D39">
        <w:tc>
          <w:tcPr>
            <w:tcW w:w="2660" w:type="dxa"/>
          </w:tcPr>
          <w:p w:rsidR="00E06D39" w:rsidRPr="00E06D39" w:rsidRDefault="00E06D39" w:rsidP="00E06D39">
            <w:pPr>
              <w:ind w:left="210" w:hangingChars="100" w:hanging="210"/>
            </w:pPr>
            <w:r>
              <w:rPr>
                <w:rFonts w:hint="eastAsia"/>
              </w:rPr>
              <w:t>２．回収ボックスの盗難防止対策</w:t>
            </w:r>
          </w:p>
        </w:tc>
        <w:tc>
          <w:tcPr>
            <w:tcW w:w="6042" w:type="dxa"/>
          </w:tcPr>
          <w:p w:rsidR="00E06D39" w:rsidRPr="00E06D39" w:rsidRDefault="00E06D39" w:rsidP="00E06D39">
            <w:pPr>
              <w:ind w:left="210" w:hangingChars="100" w:hanging="210"/>
            </w:pPr>
            <w:r>
              <w:rPr>
                <w:rFonts w:hint="eastAsia"/>
              </w:rPr>
              <w:t>・消費者が直接携帯電話端末、</w:t>
            </w:r>
            <w:r>
              <w:rPr>
                <w:rFonts w:hint="eastAsia"/>
              </w:rPr>
              <w:t>PHS</w:t>
            </w:r>
            <w:r>
              <w:rPr>
                <w:rFonts w:hint="eastAsia"/>
              </w:rPr>
              <w:t>端末及びパーソナルコンピュータを投入するボックスには、鍵をつける。</w:t>
            </w:r>
          </w:p>
        </w:tc>
      </w:tr>
      <w:tr w:rsidR="00FE00BE" w:rsidTr="00900007">
        <w:tc>
          <w:tcPr>
            <w:tcW w:w="8702" w:type="dxa"/>
            <w:gridSpan w:val="2"/>
          </w:tcPr>
          <w:p w:rsidR="00FE00BE" w:rsidRDefault="00FE00BE" w:rsidP="00BA1570">
            <w:r>
              <w:rPr>
                <w:rFonts w:hint="eastAsia"/>
              </w:rPr>
              <w:t>＜処分</w:t>
            </w:r>
            <w:r w:rsidR="00BA1570">
              <w:rPr>
                <w:rFonts w:hint="eastAsia"/>
              </w:rPr>
              <w:t>段階における措置</w:t>
            </w:r>
            <w:r>
              <w:rPr>
                <w:rFonts w:hint="eastAsia"/>
              </w:rPr>
              <w:t>＞</w:t>
            </w:r>
          </w:p>
        </w:tc>
      </w:tr>
      <w:tr w:rsidR="005B4F8D" w:rsidTr="005B4F8D">
        <w:tc>
          <w:tcPr>
            <w:tcW w:w="2660" w:type="dxa"/>
          </w:tcPr>
          <w:p w:rsidR="005B4F8D" w:rsidRDefault="005B4F8D" w:rsidP="00766CA9">
            <w:r>
              <w:rPr>
                <w:rFonts w:hint="eastAsia"/>
              </w:rPr>
              <w:t>１．保管庫の場所</w:t>
            </w:r>
          </w:p>
          <w:p w:rsidR="005B4F8D" w:rsidRDefault="005B4F8D" w:rsidP="00766CA9"/>
          <w:p w:rsidR="005B4F8D" w:rsidRDefault="005B4F8D" w:rsidP="00766CA9"/>
          <w:p w:rsidR="005B4F8D" w:rsidRDefault="005B4F8D" w:rsidP="00766CA9"/>
          <w:p w:rsidR="005B4F8D" w:rsidRDefault="005B4F8D" w:rsidP="00766CA9"/>
        </w:tc>
        <w:tc>
          <w:tcPr>
            <w:tcW w:w="6042" w:type="dxa"/>
          </w:tcPr>
          <w:p w:rsidR="005B4F8D" w:rsidRDefault="005B4F8D" w:rsidP="00766CA9">
            <w:r>
              <w:rPr>
                <w:rFonts w:hint="eastAsia"/>
              </w:rPr>
              <w:t>・○○工場△△倉庫１</w:t>
            </w:r>
            <w:r w:rsidR="007E142C">
              <w:rPr>
                <w:rFonts w:hint="eastAsia"/>
              </w:rPr>
              <w:t>階の</w:t>
            </w:r>
            <w:r>
              <w:rPr>
                <w:rFonts w:hint="eastAsia"/>
              </w:rPr>
              <w:t>管理室内</w:t>
            </w:r>
          </w:p>
          <w:p w:rsidR="005B4F8D" w:rsidRPr="005B4F8D" w:rsidRDefault="005B4F8D" w:rsidP="00911539"/>
        </w:tc>
      </w:tr>
      <w:tr w:rsidR="005B4F8D" w:rsidTr="005B4F8D">
        <w:tc>
          <w:tcPr>
            <w:tcW w:w="2660" w:type="dxa"/>
          </w:tcPr>
          <w:p w:rsidR="005B4F8D" w:rsidRDefault="005B4F8D" w:rsidP="00766CA9">
            <w:r>
              <w:rPr>
                <w:rFonts w:hint="eastAsia"/>
              </w:rPr>
              <w:t>２．携帯電話端末、</w:t>
            </w:r>
            <w:r>
              <w:rPr>
                <w:rFonts w:hint="eastAsia"/>
              </w:rPr>
              <w:t>PHS</w:t>
            </w:r>
            <w:r>
              <w:rPr>
                <w:rFonts w:hint="eastAsia"/>
              </w:rPr>
              <w:t>端末及びパーソナルコンピュータを分別する方法</w:t>
            </w:r>
          </w:p>
          <w:p w:rsidR="005B4F8D" w:rsidRDefault="005B4F8D" w:rsidP="00766CA9"/>
          <w:p w:rsidR="005B4F8D" w:rsidRDefault="005B4F8D" w:rsidP="00766CA9"/>
        </w:tc>
        <w:tc>
          <w:tcPr>
            <w:tcW w:w="6042" w:type="dxa"/>
          </w:tcPr>
          <w:p w:rsidR="005B4F8D" w:rsidRDefault="005B4F8D" w:rsidP="005B4F8D">
            <w:pPr>
              <w:ind w:left="210" w:hangingChars="100" w:hanging="210"/>
            </w:pPr>
            <w:r>
              <w:rPr>
                <w:rFonts w:hint="eastAsia"/>
              </w:rPr>
              <w:t>・分別されて回収された携帯電話端末、</w:t>
            </w:r>
            <w:r>
              <w:rPr>
                <w:rFonts w:hint="eastAsia"/>
              </w:rPr>
              <w:t>PHS</w:t>
            </w:r>
            <w:r>
              <w:rPr>
                <w:rFonts w:hint="eastAsia"/>
              </w:rPr>
              <w:t>端末及びパーソナルコンピュータについては、工場へ搬入後、重量を測定し、</w:t>
            </w:r>
            <w:r w:rsidR="00911539">
              <w:rPr>
                <w:rFonts w:hint="eastAsia"/>
              </w:rPr>
              <w:t>上記保管庫に</w:t>
            </w:r>
            <w:r>
              <w:rPr>
                <w:rFonts w:hint="eastAsia"/>
              </w:rPr>
              <w:t>保管。</w:t>
            </w:r>
          </w:p>
          <w:p w:rsidR="005B4F8D" w:rsidRPr="005B4F8D" w:rsidRDefault="005B4F8D" w:rsidP="00911539">
            <w:pPr>
              <w:ind w:left="210" w:hangingChars="100" w:hanging="210"/>
            </w:pPr>
            <w:r>
              <w:rPr>
                <w:rFonts w:hint="eastAsia"/>
              </w:rPr>
              <w:t>・分別されずに回収された携帯電話端末、</w:t>
            </w:r>
            <w:r>
              <w:rPr>
                <w:rFonts w:hint="eastAsia"/>
              </w:rPr>
              <w:t>PHS</w:t>
            </w:r>
            <w:r>
              <w:rPr>
                <w:rFonts w:hint="eastAsia"/>
              </w:rPr>
              <w:t>端末及びパーソナルコンピュータについては、工場へ搬入後、速やかに手選別を行い、</w:t>
            </w:r>
            <w:r w:rsidR="00911539">
              <w:rPr>
                <w:rFonts w:hint="eastAsia"/>
              </w:rPr>
              <w:t>他の機器とは</w:t>
            </w:r>
            <w:r>
              <w:rPr>
                <w:rFonts w:hint="eastAsia"/>
              </w:rPr>
              <w:t>別コンテナに</w:t>
            </w:r>
            <w:r w:rsidR="00911539">
              <w:rPr>
                <w:rFonts w:hint="eastAsia"/>
              </w:rPr>
              <w:t>分け</w:t>
            </w:r>
            <w:r>
              <w:rPr>
                <w:rFonts w:hint="eastAsia"/>
              </w:rPr>
              <w:t>、重量を測定し、</w:t>
            </w:r>
            <w:r w:rsidR="00911539">
              <w:rPr>
                <w:rFonts w:hint="eastAsia"/>
              </w:rPr>
              <w:t>上記保管庫に</w:t>
            </w:r>
            <w:r>
              <w:rPr>
                <w:rFonts w:hint="eastAsia"/>
              </w:rPr>
              <w:t>保管。</w:t>
            </w:r>
          </w:p>
        </w:tc>
      </w:tr>
      <w:tr w:rsidR="005B4F8D" w:rsidTr="005B4F8D">
        <w:tc>
          <w:tcPr>
            <w:tcW w:w="2660" w:type="dxa"/>
          </w:tcPr>
          <w:p w:rsidR="005B4F8D" w:rsidRDefault="005B4F8D" w:rsidP="00766CA9">
            <w:r>
              <w:rPr>
                <w:rFonts w:hint="eastAsia"/>
              </w:rPr>
              <w:t>３．盗難を防止するための具体的な対策</w:t>
            </w:r>
          </w:p>
          <w:p w:rsidR="005B4F8D" w:rsidRDefault="005B4F8D" w:rsidP="00766CA9"/>
          <w:p w:rsidR="005B4F8D" w:rsidRDefault="005B4F8D" w:rsidP="00766CA9"/>
          <w:p w:rsidR="005B4F8D" w:rsidRDefault="005B4F8D" w:rsidP="00766CA9"/>
        </w:tc>
        <w:tc>
          <w:tcPr>
            <w:tcW w:w="6042" w:type="dxa"/>
          </w:tcPr>
          <w:p w:rsidR="00911539" w:rsidRDefault="005B4F8D" w:rsidP="005B4F8D">
            <w:pPr>
              <w:ind w:left="210" w:hangingChars="100" w:hanging="210"/>
            </w:pPr>
            <w:r>
              <w:rPr>
                <w:rFonts w:hint="eastAsia"/>
              </w:rPr>
              <w:t>・</w:t>
            </w:r>
            <w:r w:rsidR="00CD221B">
              <w:rPr>
                <w:rFonts w:hint="eastAsia"/>
              </w:rPr>
              <w:t>警備</w:t>
            </w:r>
            <w:r>
              <w:rPr>
                <w:rFonts w:hint="eastAsia"/>
              </w:rPr>
              <w:t>会社に倉庫の警備業務を委託しており、２４時間監視体制を構築</w:t>
            </w:r>
            <w:r w:rsidR="007E142C">
              <w:rPr>
                <w:rFonts w:hint="eastAsia"/>
              </w:rPr>
              <w:t>する</w:t>
            </w:r>
            <w:r>
              <w:rPr>
                <w:rFonts w:hint="eastAsia"/>
              </w:rPr>
              <w:t>。</w:t>
            </w:r>
            <w:r w:rsidR="007E142C">
              <w:rPr>
                <w:rFonts w:hint="eastAsia"/>
              </w:rPr>
              <w:t>更に自社にて上記保管場所の入口を監視するための</w:t>
            </w:r>
            <w:r w:rsidR="00911539">
              <w:rPr>
                <w:rFonts w:hint="eastAsia"/>
              </w:rPr>
              <w:t>カメラ</w:t>
            </w:r>
            <w:r w:rsidR="007E142C">
              <w:rPr>
                <w:rFonts w:hint="eastAsia"/>
              </w:rPr>
              <w:t>を</w:t>
            </w:r>
            <w:r w:rsidR="00911539">
              <w:rPr>
                <w:rFonts w:hint="eastAsia"/>
              </w:rPr>
              <w:t>設置</w:t>
            </w:r>
            <w:r w:rsidR="007E142C">
              <w:rPr>
                <w:rFonts w:hint="eastAsia"/>
              </w:rPr>
              <w:t>している。</w:t>
            </w:r>
          </w:p>
          <w:p w:rsidR="00911539" w:rsidRDefault="007E142C" w:rsidP="007E142C">
            <w:pPr>
              <w:ind w:left="210" w:hangingChars="100" w:hanging="21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288EE2" wp14:editId="54FE6C36">
                      <wp:simplePos x="0" y="0"/>
                      <wp:positionH relativeFrom="column">
                        <wp:posOffset>1812290</wp:posOffset>
                      </wp:positionH>
                      <wp:positionV relativeFrom="paragraph">
                        <wp:posOffset>482600</wp:posOffset>
                      </wp:positionV>
                      <wp:extent cx="590550" cy="2333624"/>
                      <wp:effectExtent l="57150" t="38100" r="19050" b="2921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90550" cy="2333624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142.7pt;margin-top:38pt;width:46.5pt;height:183.75pt;flip:x 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hweGAIAAEwEAAAOAAAAZHJzL2Uyb0RvYy54bWysVMuO0zAU3SPxD5b3NGlLRxA1nUWHgQWC&#10;itfe49iJJb9km6bdlvX8ACyQ+AGQQGLJx1Sov8G1k6a8hARiY13b99xzz/FN5ucbJdGaOS+MLvF4&#10;lGPENDWV0HWJnz+7vHUHIx+Irog0mpV4yzw+X9y8MW9twSamMbJiDkER7YvWlrgJwRZZ5mnDFPEj&#10;Y5mGS26cIgG2rs4qR1qormQ2yfOzrDWuss5Q5j2cXnSXeJHqc85oeMy5ZwHJEkNvIa0urVdxzRZz&#10;UtSO2EbQvg3yD10oIjSQDqUuSCDopRO/lFKCOuMNDyNqVGY4F5QlDaBmnP+k5mlDLEtawBxvB5v8&#10;/ytLH61XDomqxDOMNFHwRIc3nw6fXx/evvt6/WG/+7h/db3fvd/vvqBZdKu1vgDQUq9cv/N25aL0&#10;DXcKcSnsAxgEnKIXMYp3IBRtkuvbwXW2CYjC4exuPpvB21C4mkyn07PJ7UiUdRUj2jof7jOjUAxK&#10;7IMjom7C0mgND2xcx0HWD33ogEdABEsdV2+kqC6FlGkTp4stpUNrAnMRNuOe8IesQIS8pysUthZc&#10;CU4QXUvWZ8aqWfSiU5+isJWsY3zCOHgK2rrO0jSf+AilTIcjp9SQHWEcuhuAebLtj8A+P0JZmvS/&#10;AQ+IxGx0GMBKaON+x36yiXf5Rwc63dGCK1Nt01wka2Bk0zP2n1f8Jr7fJ/jpJ7D4BgAA//8DAFBL&#10;AwQUAAYACAAAACEAIhTjX+IAAAAKAQAADwAAAGRycy9kb3ducmV2LnhtbEyPy07DMBBF90j8gzVI&#10;bBB1aNM2hDhVi+iiK0SpBOzceIgj/Ihstwl/z7CC5cwc3Tm3Wo3WsDOG2Hkn4G6SAUPXeNW5VsDh&#10;dXtbAItJOiWNdyjgGyOs6suLSpbKD+4Fz/vUMgpxsZQCdEp9yXlsNFoZJ75HR7dPH6xMNIaWqyAH&#10;CreGT7Nswa3sHH3QssdHjc3X/mQFhGwctm/efGyG52a3Weun95v7gxDXV+P6AVjCMf3B8KtP6lCT&#10;09GfnIrMCJgW85xQAcsFdSJgtixocRSQ57M58Lri/yvUPwAAAP//AwBQSwECLQAUAAYACAAAACEA&#10;toM4kv4AAADhAQAAEwAAAAAAAAAAAAAAAAAAAAAAW0NvbnRlbnRfVHlwZXNdLnhtbFBLAQItABQA&#10;BgAIAAAAIQA4/SH/1gAAAJQBAAALAAAAAAAAAAAAAAAAAC8BAABfcmVscy8ucmVsc1BLAQItABQA&#10;BgAIAAAAIQCByhweGAIAAEwEAAAOAAAAAAAAAAAAAAAAAC4CAABkcnMvZTJvRG9jLnhtbFBLAQIt&#10;ABQABgAIAAAAIQAiFONf4gAAAAoBAAAPAAAAAAAAAAAAAAAAAHIEAABkcnMvZG93bnJldi54bWxQ&#10;SwUGAAAAAAQABADzAAAAgQUAAAAA&#10;" strokecolor="black [3213]">
                      <v:stroke endarrow="block"/>
                    </v:shape>
                  </w:pict>
                </mc:Fallback>
              </mc:AlternateContent>
            </w:r>
            <w:r w:rsidR="00911539">
              <w:rPr>
                <w:rFonts w:hint="eastAsia"/>
              </w:rPr>
              <w:t>・</w:t>
            </w:r>
            <w:r>
              <w:rPr>
                <w:rFonts w:hint="eastAsia"/>
              </w:rPr>
              <w:t>上記保管場所については、入室者、入出時刻、退出時刻を記載する管理表にて、入退室の管理を実施している。また、退出時には必ず施錠を行う。</w:t>
            </w:r>
          </w:p>
        </w:tc>
      </w:tr>
      <w:tr w:rsidR="00911539" w:rsidTr="005B4F8D">
        <w:tc>
          <w:tcPr>
            <w:tcW w:w="2660" w:type="dxa"/>
          </w:tcPr>
          <w:p w:rsidR="00911539" w:rsidRDefault="00911539" w:rsidP="00766CA9">
            <w:r>
              <w:rPr>
                <w:rFonts w:hint="eastAsia"/>
              </w:rPr>
              <w:t>４．個人情報が含まれると思われる部品の取扱い</w:t>
            </w:r>
          </w:p>
          <w:p w:rsidR="007E142C" w:rsidRDefault="007E142C" w:rsidP="00766CA9"/>
          <w:p w:rsidR="007E142C" w:rsidRDefault="007E142C" w:rsidP="00766CA9"/>
          <w:p w:rsidR="007E142C" w:rsidRPr="00911539" w:rsidRDefault="007E142C" w:rsidP="00766CA9"/>
        </w:tc>
        <w:tc>
          <w:tcPr>
            <w:tcW w:w="6042" w:type="dxa"/>
          </w:tcPr>
          <w:p w:rsidR="00911539" w:rsidRDefault="00911539" w:rsidP="00067B98">
            <w:pPr>
              <w:ind w:left="210" w:hangingChars="100" w:hanging="210"/>
              <w:rPr>
                <w:noProof/>
              </w:rPr>
            </w:pPr>
            <w:r>
              <w:rPr>
                <w:rFonts w:hint="eastAsia"/>
                <w:noProof/>
              </w:rPr>
              <w:t>・</w:t>
            </w:r>
            <w:r w:rsidR="007E142C">
              <w:rPr>
                <w:rFonts w:hint="eastAsia"/>
                <w:noProof/>
              </w:rPr>
              <w:t>個人情報が含まれると思われる部品については、</w:t>
            </w:r>
            <w:r w:rsidR="00067B98">
              <w:rPr>
                <w:rFonts w:hint="eastAsia"/>
                <w:noProof/>
              </w:rPr>
              <w:t>破砕機に直接投入する</w:t>
            </w:r>
            <w:r w:rsidR="007E142C">
              <w:rPr>
                <w:rFonts w:hint="eastAsia"/>
                <w:noProof/>
              </w:rPr>
              <w:t>ことで、物理的な破壊を行う。</w:t>
            </w:r>
          </w:p>
        </w:tc>
      </w:tr>
    </w:tbl>
    <w:p w:rsidR="00766CA9" w:rsidRPr="005B4F8D" w:rsidRDefault="00766CA9" w:rsidP="00766CA9"/>
    <w:p w:rsidR="007821FA" w:rsidRPr="007821FA" w:rsidRDefault="005B4F8D">
      <w:r w:rsidRPr="005B4F8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75663" wp14:editId="74EA0F5E">
                <wp:simplePos x="0" y="0"/>
                <wp:positionH relativeFrom="column">
                  <wp:posOffset>3930015</wp:posOffset>
                </wp:positionH>
                <wp:positionV relativeFrom="paragraph">
                  <wp:posOffset>485140</wp:posOffset>
                </wp:positionV>
                <wp:extent cx="1557618" cy="885825"/>
                <wp:effectExtent l="0" t="0" r="24130" b="28575"/>
                <wp:wrapNone/>
                <wp:docPr id="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7618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sng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F8D" w:rsidRPr="00FE00BE" w:rsidRDefault="005B4F8D" w:rsidP="005B4F8D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hd w:val="clear" w:color="auto" w:fill="FFFFFF" w:themeFill="background1"/>
                              </w:rPr>
                            </w:pPr>
                            <w:r w:rsidRPr="00FE00BE">
                              <w:rPr>
                                <w:rFonts w:asciiTheme="minorHAnsi" w:eastAsiaTheme="minorEastAsia" w:hAnsi="ＭＳ 明朝" w:cstheme="minorBidi" w:hint="eastAsia"/>
                                <w:color w:val="000000" w:themeColor="dark1"/>
                                <w:sz w:val="22"/>
                                <w:szCs w:val="22"/>
                                <w:shd w:val="clear" w:color="auto" w:fill="FFFFFF" w:themeFill="background1"/>
                              </w:rPr>
                              <w:t>図や文章等を用いて具体的に記載してください。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09.45pt;margin-top:38.2pt;width:122.65pt;height:69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17GWAIAAPAEAAAOAAAAZHJzL2Uyb0RvYy54bWysVMFuEzEQvSPxD5bvZJNISaMomwpalQui&#10;iJYPcLx21sLrMbaT3XBMJMRH8AsVZ75nf4SxN9mScioiB2dtz5t582bGi8um0mQrnFdgcjoaDCkR&#10;hkOhzDqnn+5vXs0o8YGZgmkwIqc74enl8uWLRW3nYgwl6EI4gk6Mn9c2p2UIdp5lnpeiYn4AVhi8&#10;lOAqFnDr1lnhWI3eK52Nh8NpVoMrrAMuvMfT6+6SLpN/KQUPt1J6EYjOKXILaXVpXcU1Wy7YfO2Y&#10;LRU/0mD/wKJiymDQ3tU1C4xsnPrLVaW4Aw8yDDhUGUipuEg5YDaj4ZNs7kpmRcoFxfG2l8n/P7f8&#10;/faDI6rI6ZQSwyosUXv41u4f2v2v9vCdtIcf7eHQ7n/inkyiXLX1c0TdWcSF5g00WPbTucfDqEIj&#10;XRX/MT+C9yj8rhdbNIHwCJpMLqYjbA+Od7PZZDZO7rNHtHU+vBVQkfiRU4fFTBqz7TsfkAmankxi&#10;MA9aFTdK67SJDSSutCNbhqXXIXFExJmVNqRGJuOLIVLklUUZvFmnIGd2fud7V9h8BdT3mAYlmvmA&#10;F5hb+kUZzkPgThs8jKJ14qSvsNMistTmo5CoftKoo+3Wqxiqa1GcISR2atTkDAHRUGKez8QeIREt&#10;0mQ8E9+DUnwwocdXyoDrVDuXvfh8kl129icpOgGiFqFZNceuWkGxw6bC1yTc4iI1YHG4VpaSEtzX&#10;p2c1Ti3W68uGOUGJC/oKuiFnhqN9TrtuMfB6E0Cq1DExYhfmyATHKtXs+ATEuf1zn6weH6rlbwAA&#10;AP//AwBQSwMEFAAGAAgAAAAhAC8MCKHfAAAACgEAAA8AAABkcnMvZG93bnJldi54bWxMj0FOwzAQ&#10;RfdI3MEaJDaIOolCmqaZVFWkHoDCAnZu7Cah9jiynTbcHrOC5eg//f+m3i1Gs6tyfrSEkK4SYIo6&#10;K0fqEd7fDs8lMB8ESaEtKYRv5WHX3N/VopL2Rq/qegw9iyXkK4EwhDBVnPtuUEb4lZ0UxexsnREh&#10;nq7n0olbLDeaZ0lScCNGiguDmFQ7qO5ynA1CPot1l+zbr3Kkz+nJXA4frdOIjw/LfgssqCX8wfCr&#10;H9WhiU4nO5P0TCMUabmJKMK6yIFFoCzyDNgJIUtfNsCbmv9/ofkBAAD//wMAUEsBAi0AFAAGAAgA&#10;AAAhALaDOJL+AAAA4QEAABMAAAAAAAAAAAAAAAAAAAAAAFtDb250ZW50X1R5cGVzXS54bWxQSwEC&#10;LQAUAAYACAAAACEAOP0h/9YAAACUAQAACwAAAAAAAAAAAAAAAAAvAQAAX3JlbHMvLnJlbHNQSwEC&#10;LQAUAAYACAAAACEAUwdexlgCAADwBAAADgAAAAAAAAAAAAAAAAAuAgAAZHJzL2Uyb0RvYy54bWxQ&#10;SwECLQAUAAYACAAAACEALwwIod8AAAAKAQAADwAAAAAAAAAAAAAAAACyBAAAZHJzL2Rvd25yZXYu&#10;eG1sUEsFBgAAAAAEAAQA8wAAAL4FAAAAAA==&#10;" fillcolor="white [3201]" strokecolor="windowText" strokeweight="1pt">
                <v:textbox>
                  <w:txbxContent>
                    <w:p w:rsidR="005B4F8D" w:rsidRPr="00FE00BE" w:rsidRDefault="005B4F8D" w:rsidP="005B4F8D">
                      <w:pPr>
                        <w:pStyle w:val="Web"/>
                        <w:spacing w:before="0" w:beforeAutospacing="0" w:after="0" w:afterAutospacing="0"/>
                        <w:rPr>
                          <w:shd w:val="clear" w:color="auto" w:fill="FFFFFF" w:themeFill="background1"/>
                        </w:rPr>
                      </w:pPr>
                      <w:r w:rsidRPr="00FE00BE">
                        <w:rPr>
                          <w:rFonts w:asciiTheme="minorHAnsi" w:eastAsiaTheme="minorEastAsia" w:hAnsi="ＭＳ 明朝" w:cstheme="minorBidi" w:hint="eastAsia"/>
                          <w:color w:val="000000" w:themeColor="dark1"/>
                          <w:sz w:val="22"/>
                          <w:szCs w:val="22"/>
                          <w:shd w:val="clear" w:color="auto" w:fill="FFFFFF" w:themeFill="background1"/>
                        </w:rPr>
                        <w:t>図や文章等を用いて具体的に記載してください。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821FA" w:rsidRPr="007821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500" w:rsidRDefault="004A1500" w:rsidP="007821FA">
      <w:r>
        <w:separator/>
      </w:r>
    </w:p>
  </w:endnote>
  <w:endnote w:type="continuationSeparator" w:id="0">
    <w:p w:rsidR="004A1500" w:rsidRDefault="004A1500" w:rsidP="0078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500" w:rsidRDefault="004A1500" w:rsidP="007821FA">
      <w:r>
        <w:separator/>
      </w:r>
    </w:p>
  </w:footnote>
  <w:footnote w:type="continuationSeparator" w:id="0">
    <w:p w:rsidR="004A1500" w:rsidRDefault="004A1500" w:rsidP="00782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F0B19"/>
    <w:multiLevelType w:val="hybridMultilevel"/>
    <w:tmpl w:val="C05891E6"/>
    <w:lvl w:ilvl="0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44A"/>
    <w:rsid w:val="00030DC1"/>
    <w:rsid w:val="00067B98"/>
    <w:rsid w:val="00080480"/>
    <w:rsid w:val="00092A7D"/>
    <w:rsid w:val="001150CB"/>
    <w:rsid w:val="001E1BA6"/>
    <w:rsid w:val="002A0DEE"/>
    <w:rsid w:val="002A244A"/>
    <w:rsid w:val="00330FE9"/>
    <w:rsid w:val="003B1884"/>
    <w:rsid w:val="003D7A5E"/>
    <w:rsid w:val="00462787"/>
    <w:rsid w:val="0046425E"/>
    <w:rsid w:val="004A1500"/>
    <w:rsid w:val="005B4F8D"/>
    <w:rsid w:val="006B4FB4"/>
    <w:rsid w:val="006F1B1E"/>
    <w:rsid w:val="00754F62"/>
    <w:rsid w:val="00766CA9"/>
    <w:rsid w:val="007821FA"/>
    <w:rsid w:val="007E142C"/>
    <w:rsid w:val="008133FF"/>
    <w:rsid w:val="00816DDD"/>
    <w:rsid w:val="008564C6"/>
    <w:rsid w:val="008A0B8E"/>
    <w:rsid w:val="008F7F7E"/>
    <w:rsid w:val="00911539"/>
    <w:rsid w:val="00963C85"/>
    <w:rsid w:val="00A84E03"/>
    <w:rsid w:val="00A97EA3"/>
    <w:rsid w:val="00B54AB9"/>
    <w:rsid w:val="00B6183C"/>
    <w:rsid w:val="00B664D2"/>
    <w:rsid w:val="00BA1570"/>
    <w:rsid w:val="00BC15B7"/>
    <w:rsid w:val="00BD15CD"/>
    <w:rsid w:val="00C3464A"/>
    <w:rsid w:val="00C93A38"/>
    <w:rsid w:val="00CD221B"/>
    <w:rsid w:val="00DB2274"/>
    <w:rsid w:val="00DB700C"/>
    <w:rsid w:val="00E06D39"/>
    <w:rsid w:val="00F36397"/>
    <w:rsid w:val="00F76BA4"/>
    <w:rsid w:val="00FE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1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21FA"/>
  </w:style>
  <w:style w:type="paragraph" w:styleId="a5">
    <w:name w:val="footer"/>
    <w:basedOn w:val="a"/>
    <w:link w:val="a6"/>
    <w:uiPriority w:val="99"/>
    <w:unhideWhenUsed/>
    <w:rsid w:val="007821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21FA"/>
  </w:style>
  <w:style w:type="paragraph" w:styleId="Web">
    <w:name w:val="Normal (Web)"/>
    <w:basedOn w:val="a"/>
    <w:uiPriority w:val="99"/>
    <w:semiHidden/>
    <w:unhideWhenUsed/>
    <w:rsid w:val="001150C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7">
    <w:name w:val="Table Grid"/>
    <w:basedOn w:val="a1"/>
    <w:uiPriority w:val="59"/>
    <w:rsid w:val="005B4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67B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7B9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1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21FA"/>
  </w:style>
  <w:style w:type="paragraph" w:styleId="a5">
    <w:name w:val="footer"/>
    <w:basedOn w:val="a"/>
    <w:link w:val="a6"/>
    <w:uiPriority w:val="99"/>
    <w:unhideWhenUsed/>
    <w:rsid w:val="007821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21FA"/>
  </w:style>
  <w:style w:type="paragraph" w:styleId="Web">
    <w:name w:val="Normal (Web)"/>
    <w:basedOn w:val="a"/>
    <w:uiPriority w:val="99"/>
    <w:semiHidden/>
    <w:unhideWhenUsed/>
    <w:rsid w:val="001150C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7">
    <w:name w:val="Table Grid"/>
    <w:basedOn w:val="a1"/>
    <w:uiPriority w:val="59"/>
    <w:rsid w:val="005B4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67B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7B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5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環境省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helpuser</dc:creator>
  <cp:lastModifiedBy>相模原市役所</cp:lastModifiedBy>
  <cp:revision>3</cp:revision>
  <cp:lastPrinted>2013-04-26T04:20:00Z</cp:lastPrinted>
  <dcterms:created xsi:type="dcterms:W3CDTF">2013-04-25T13:28:00Z</dcterms:created>
  <dcterms:modified xsi:type="dcterms:W3CDTF">2013-04-26T04:20:00Z</dcterms:modified>
</cp:coreProperties>
</file>